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BE11F" w14:textId="77777777" w:rsidR="004C2B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Trowels to Teaching Lesson Plan</w:t>
      </w:r>
    </w:p>
    <w:p w14:paraId="4E786A68" w14:textId="77777777" w:rsidR="004C2B5A" w:rsidRDefault="004C2B5A">
      <w:pPr>
        <w:rPr>
          <w:rFonts w:ascii="Times New Roman" w:eastAsia="Times New Roman" w:hAnsi="Times New Roman" w:cs="Times New Roman"/>
          <w:sz w:val="24"/>
          <w:szCs w:val="24"/>
        </w:rPr>
      </w:pPr>
    </w:p>
    <w:p w14:paraId="7C96F344" w14:textId="77777777" w:rsidR="004C2B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AP World or US History DBQ</w:t>
      </w:r>
    </w:p>
    <w:p w14:paraId="45FF6F97" w14:textId="77777777" w:rsidR="004C2B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AP World: Units 4-5</w:t>
      </w:r>
    </w:p>
    <w:p w14:paraId="7368BF4E" w14:textId="77777777" w:rsidR="004C2B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AP US: Unit 5</w:t>
      </w:r>
    </w:p>
    <w:p w14:paraId="1480102B" w14:textId="77777777" w:rsidR="004C2B5A" w:rsidRDefault="004C2B5A">
      <w:pPr>
        <w:rPr>
          <w:rFonts w:ascii="Times New Roman" w:eastAsia="Times New Roman" w:hAnsi="Times New Roman" w:cs="Times New Roman"/>
          <w:sz w:val="24"/>
          <w:szCs w:val="24"/>
        </w:rPr>
      </w:pPr>
    </w:p>
    <w:p w14:paraId="0FF90CA1" w14:textId="77777777" w:rsidR="004C2B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PROMPT: Compare the strategies used by Native American societies and European settlers to manage political and cultural interaction in the Americas during the period 1450–1900. </w:t>
      </w:r>
    </w:p>
    <w:p w14:paraId="60662925" w14:textId="77777777" w:rsidR="004C2B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In your response, consider how each group approached cultural preservation or transformation, engaged with prevailing economic systems, and the extent to which their strategies reflected broader patterns of colonialism, resistance, and adaptation.</w:t>
      </w:r>
    </w:p>
    <w:p w14:paraId="4A45542C" w14:textId="77777777" w:rsidR="004C2B5A" w:rsidRDefault="004C2B5A"/>
    <w:p w14:paraId="60BAECC1" w14:textId="77777777" w:rsidR="004C2B5A" w:rsidRDefault="004C2B5A"/>
    <w:p w14:paraId="7E19A0F8" w14:textId="77777777" w:rsidR="004C2B5A" w:rsidRDefault="004C2B5A">
      <w:pPr>
        <w:rPr>
          <w:rFonts w:ascii="Times New Roman" w:eastAsia="Times New Roman" w:hAnsi="Times New Roman" w:cs="Times New Roman"/>
          <w:sz w:val="24"/>
          <w:szCs w:val="24"/>
        </w:rPr>
      </w:pPr>
    </w:p>
    <w:p w14:paraId="384149C6" w14:textId="77777777" w:rsidR="004C2B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Document 1:</w:t>
      </w:r>
    </w:p>
    <w:p w14:paraId="3BB7F830" w14:textId="77777777" w:rsidR="004C2B5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Source: </w:t>
      </w:r>
      <w:r>
        <w:rPr>
          <w:rFonts w:ascii="Times New Roman" w:eastAsia="Times New Roman" w:hAnsi="Times New Roman" w:cs="Times New Roman"/>
          <w:b/>
          <w:i/>
          <w:sz w:val="24"/>
          <w:szCs w:val="24"/>
        </w:rPr>
        <w:t xml:space="preserve">Weeping Woman Pendant, </w:t>
      </w:r>
      <w:r>
        <w:rPr>
          <w:rFonts w:ascii="Times New Roman" w:eastAsia="Times New Roman" w:hAnsi="Times New Roman" w:cs="Times New Roman"/>
          <w:b/>
          <w:sz w:val="24"/>
          <w:szCs w:val="24"/>
        </w:rPr>
        <w:t xml:space="preserve">E.J. Neiburger, </w:t>
      </w:r>
      <w:hyperlink r:id="rId6">
        <w:r w:rsidR="004C2B5A">
          <w:rPr>
            <w:rFonts w:ascii="Times New Roman" w:eastAsia="Times New Roman" w:hAnsi="Times New Roman" w:cs="Times New Roman"/>
            <w:b/>
            <w:sz w:val="24"/>
            <w:szCs w:val="24"/>
          </w:rPr>
          <w:t>Central States Archaeological Journal, 2021, Vol 68, Issue 4, p200</w:t>
        </w:r>
      </w:hyperlink>
    </w:p>
    <w:p w14:paraId="1BB91950" w14:textId="77777777" w:rsidR="004C2B5A" w:rsidRDefault="004C2B5A">
      <w:pPr>
        <w:rPr>
          <w:rFonts w:ascii="Times New Roman" w:eastAsia="Times New Roman" w:hAnsi="Times New Roman" w:cs="Times New Roman"/>
          <w:b/>
          <w:sz w:val="24"/>
          <w:szCs w:val="24"/>
        </w:rPr>
      </w:pPr>
      <w:hyperlink r:id="rId7">
        <w:r>
          <w:rPr>
            <w:rFonts w:ascii="Times New Roman" w:eastAsia="Times New Roman" w:hAnsi="Times New Roman" w:cs="Times New Roman"/>
            <w:b/>
            <w:color w:val="1155CC"/>
            <w:sz w:val="24"/>
            <w:szCs w:val="24"/>
            <w:u w:val="single"/>
          </w:rPr>
          <w:t>EBSCO</w:t>
        </w:r>
      </w:hyperlink>
    </w:p>
    <w:p w14:paraId="270CDDAB" w14:textId="77777777" w:rsidR="004C2B5A" w:rsidRDefault="004C2B5A">
      <w:pPr>
        <w:rPr>
          <w:rFonts w:ascii="Times New Roman" w:eastAsia="Times New Roman" w:hAnsi="Times New Roman" w:cs="Times New Roman"/>
          <w:sz w:val="24"/>
          <w:szCs w:val="24"/>
        </w:rPr>
      </w:pPr>
    </w:p>
    <w:p w14:paraId="33A0A72A" w14:textId="77777777" w:rsidR="004C2B5A" w:rsidRDefault="00000000">
      <w:pPr>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 xml:space="preserve">“By the seventeenth century, Northeast tribes, such as the </w:t>
      </w:r>
      <w:hyperlink r:id="rId8">
        <w:r w:rsidR="004C2B5A">
          <w:rPr>
            <w:rFonts w:ascii="Times New Roman" w:eastAsia="Times New Roman" w:hAnsi="Times New Roman" w:cs="Times New Roman"/>
            <w:b/>
            <w:color w:val="2D62B7"/>
            <w:sz w:val="24"/>
            <w:szCs w:val="24"/>
          </w:rPr>
          <w:t>Seneca</w:t>
        </w:r>
      </w:hyperlink>
      <w:r>
        <w:rPr>
          <w:rFonts w:ascii="Times New Roman" w:eastAsia="Times New Roman" w:hAnsi="Times New Roman" w:cs="Times New Roman"/>
          <w:color w:val="3D3F42"/>
          <w:sz w:val="24"/>
          <w:szCs w:val="24"/>
        </w:rPr>
        <w:t xml:space="preserve">, Cayuga, and Onondaga, hammered, shaped, and cut European silver coins for jewelry. The more intricate techniques of </w:t>
      </w:r>
      <w:proofErr w:type="spellStart"/>
      <w:r>
        <w:rPr>
          <w:rFonts w:ascii="Times New Roman" w:eastAsia="Times New Roman" w:hAnsi="Times New Roman" w:cs="Times New Roman"/>
          <w:color w:val="3D3F42"/>
          <w:sz w:val="24"/>
          <w:szCs w:val="24"/>
        </w:rPr>
        <w:t>silverworking</w:t>
      </w:r>
      <w:proofErr w:type="spellEnd"/>
      <w:r>
        <w:rPr>
          <w:rFonts w:ascii="Times New Roman" w:eastAsia="Times New Roman" w:hAnsi="Times New Roman" w:cs="Times New Roman"/>
          <w:color w:val="3D3F42"/>
          <w:sz w:val="24"/>
          <w:szCs w:val="24"/>
        </w:rPr>
        <w:t xml:space="preserve"> were introduced to the Southwest Navajo by Mexican silversmiths during the early second half of the nineteenth century. Later, the </w:t>
      </w:r>
      <w:hyperlink r:id="rId9">
        <w:r w:rsidR="004C2B5A">
          <w:rPr>
            <w:rFonts w:ascii="Times New Roman" w:eastAsia="Times New Roman" w:hAnsi="Times New Roman" w:cs="Times New Roman"/>
            <w:b/>
            <w:color w:val="2D62B7"/>
            <w:sz w:val="24"/>
            <w:szCs w:val="24"/>
          </w:rPr>
          <w:t>Zuni</w:t>
        </w:r>
      </w:hyperlink>
      <w:r>
        <w:rPr>
          <w:rFonts w:ascii="Times New Roman" w:eastAsia="Times New Roman" w:hAnsi="Times New Roman" w:cs="Times New Roman"/>
          <w:color w:val="3D3F42"/>
          <w:sz w:val="24"/>
          <w:szCs w:val="24"/>
        </w:rPr>
        <w:t xml:space="preserve"> (Pueblo) learned the craft from the </w:t>
      </w:r>
      <w:hyperlink r:id="rId10">
        <w:r w:rsidR="004C2B5A">
          <w:rPr>
            <w:rFonts w:ascii="Times New Roman" w:eastAsia="Times New Roman" w:hAnsi="Times New Roman" w:cs="Times New Roman"/>
            <w:b/>
            <w:color w:val="2D62B7"/>
            <w:sz w:val="24"/>
            <w:szCs w:val="24"/>
          </w:rPr>
          <w:t>Navajo</w:t>
        </w:r>
      </w:hyperlink>
      <w:r>
        <w:rPr>
          <w:rFonts w:ascii="Times New Roman" w:eastAsia="Times New Roman" w:hAnsi="Times New Roman" w:cs="Times New Roman"/>
          <w:color w:val="3D3F42"/>
          <w:sz w:val="24"/>
          <w:szCs w:val="24"/>
        </w:rPr>
        <w:t>. The Navajo style was distinguished by die-stamp designs that showed off the metal itself. Zuni work was more intricate in detail, and die work was rarer.”</w:t>
      </w:r>
    </w:p>
    <w:p w14:paraId="3539B905" w14:textId="77777777" w:rsidR="004C2B5A" w:rsidRDefault="004C2B5A">
      <w:pPr>
        <w:rPr>
          <w:rFonts w:ascii="Times New Roman" w:eastAsia="Times New Roman" w:hAnsi="Times New Roman" w:cs="Times New Roman"/>
          <w:color w:val="3D3F42"/>
          <w:sz w:val="24"/>
          <w:szCs w:val="24"/>
        </w:rPr>
      </w:pPr>
    </w:p>
    <w:p w14:paraId="027BC897" w14:textId="77777777" w:rsidR="004C2B5A" w:rsidRDefault="004C2B5A">
      <w:pPr>
        <w:rPr>
          <w:rFonts w:ascii="Times New Roman" w:eastAsia="Times New Roman" w:hAnsi="Times New Roman" w:cs="Times New Roman"/>
          <w:color w:val="3D3F42"/>
          <w:sz w:val="24"/>
          <w:szCs w:val="24"/>
        </w:rPr>
      </w:pPr>
    </w:p>
    <w:p w14:paraId="61CAFF2D" w14:textId="77777777" w:rsidR="004C2B5A" w:rsidRDefault="00000000">
      <w:pPr>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 xml:space="preserve">Document 2: </w:t>
      </w:r>
    </w:p>
    <w:p w14:paraId="43AC55A4" w14:textId="77777777" w:rsidR="004C2B5A" w:rsidRDefault="00000000">
      <w:pPr>
        <w:rPr>
          <w:rFonts w:ascii="Times New Roman" w:eastAsia="Times New Roman" w:hAnsi="Times New Roman" w:cs="Times New Roman"/>
          <w:b/>
          <w:color w:val="3D3F42"/>
          <w:sz w:val="24"/>
          <w:szCs w:val="24"/>
          <w:highlight w:val="white"/>
        </w:rPr>
      </w:pPr>
      <w:r>
        <w:rPr>
          <w:rFonts w:ascii="Times New Roman" w:eastAsia="Times New Roman" w:hAnsi="Times New Roman" w:cs="Times New Roman"/>
          <w:b/>
          <w:color w:val="3D3F42"/>
          <w:sz w:val="24"/>
          <w:szCs w:val="24"/>
        </w:rPr>
        <w:t xml:space="preserve">Source: </w:t>
      </w:r>
      <w:r>
        <w:rPr>
          <w:rFonts w:ascii="Times New Roman" w:eastAsia="Times New Roman" w:hAnsi="Times New Roman" w:cs="Times New Roman"/>
          <w:b/>
          <w:i/>
          <w:color w:val="3D3F42"/>
          <w:sz w:val="24"/>
          <w:szCs w:val="24"/>
          <w:highlight w:val="white"/>
        </w:rPr>
        <w:t xml:space="preserve">Provincial Court Land Records, 1719-1723, </w:t>
      </w:r>
      <w:r>
        <w:rPr>
          <w:rFonts w:ascii="Times New Roman" w:eastAsia="Times New Roman" w:hAnsi="Times New Roman" w:cs="Times New Roman"/>
          <w:b/>
          <w:color w:val="3D3F42"/>
          <w:sz w:val="24"/>
          <w:szCs w:val="24"/>
          <w:highlight w:val="white"/>
        </w:rPr>
        <w:t>Volume 721, Page 408-409.</w:t>
      </w:r>
    </w:p>
    <w:p w14:paraId="455E3B76" w14:textId="77777777" w:rsidR="004C2B5A" w:rsidRDefault="004C2B5A">
      <w:pPr>
        <w:rPr>
          <w:rFonts w:ascii="Times New Roman" w:eastAsia="Times New Roman" w:hAnsi="Times New Roman" w:cs="Times New Roman"/>
          <w:b/>
          <w:color w:val="3D3F42"/>
          <w:sz w:val="24"/>
          <w:szCs w:val="24"/>
          <w:highlight w:val="white"/>
        </w:rPr>
      </w:pPr>
      <w:hyperlink r:id="rId11">
        <w:r>
          <w:rPr>
            <w:rFonts w:ascii="Times New Roman" w:eastAsia="Times New Roman" w:hAnsi="Times New Roman" w:cs="Times New Roman"/>
            <w:b/>
            <w:color w:val="1155CC"/>
            <w:sz w:val="24"/>
            <w:szCs w:val="24"/>
            <w:highlight w:val="white"/>
            <w:u w:val="single"/>
          </w:rPr>
          <w:t>https://msa.maryland.gov/megafile/msa/speccol/sc2900/sc2908/000001/000721/html/am721--409.html</w:t>
        </w:r>
      </w:hyperlink>
      <w:r w:rsidR="00000000">
        <w:rPr>
          <w:rFonts w:ascii="Times New Roman" w:eastAsia="Times New Roman" w:hAnsi="Times New Roman" w:cs="Times New Roman"/>
          <w:b/>
          <w:color w:val="3D3F42"/>
          <w:sz w:val="24"/>
          <w:szCs w:val="24"/>
          <w:highlight w:val="white"/>
        </w:rPr>
        <w:t xml:space="preserve"> </w:t>
      </w:r>
    </w:p>
    <w:p w14:paraId="4B1BF143" w14:textId="77777777" w:rsidR="004C2B5A" w:rsidRDefault="004C2B5A">
      <w:pPr>
        <w:rPr>
          <w:rFonts w:ascii="Times New Roman" w:eastAsia="Times New Roman" w:hAnsi="Times New Roman" w:cs="Times New Roman"/>
          <w:b/>
          <w:i/>
          <w:color w:val="3D3F42"/>
          <w:sz w:val="24"/>
          <w:szCs w:val="24"/>
          <w:highlight w:val="white"/>
        </w:rPr>
      </w:pPr>
    </w:p>
    <w:p w14:paraId="0A03778D" w14:textId="77777777" w:rsidR="004C2B5A" w:rsidRDefault="00000000">
      <w:pPr>
        <w:rPr>
          <w:rFonts w:ascii="Times New Roman" w:eastAsia="Times New Roman" w:hAnsi="Times New Roman" w:cs="Times New Roman"/>
          <w:color w:val="3D3F42"/>
          <w:sz w:val="24"/>
          <w:szCs w:val="24"/>
          <w:highlight w:val="white"/>
        </w:rPr>
      </w:pPr>
      <w:r>
        <w:rPr>
          <w:rFonts w:ascii="Times New Roman" w:eastAsia="Times New Roman" w:hAnsi="Times New Roman" w:cs="Times New Roman"/>
          <w:color w:val="3D3F42"/>
          <w:sz w:val="24"/>
          <w:szCs w:val="24"/>
          <w:highlight w:val="white"/>
        </w:rPr>
        <w:t xml:space="preserve">“It is agreed that from this day Forward there be an inviolable peace and amity between the Right </w:t>
      </w:r>
      <w:proofErr w:type="spellStart"/>
      <w:r>
        <w:rPr>
          <w:rFonts w:ascii="Times New Roman" w:eastAsia="Times New Roman" w:hAnsi="Times New Roman" w:cs="Times New Roman"/>
          <w:color w:val="3D3F42"/>
          <w:sz w:val="24"/>
          <w:szCs w:val="24"/>
          <w:highlight w:val="white"/>
        </w:rPr>
        <w:t>Honble</w:t>
      </w:r>
      <w:proofErr w:type="spellEnd"/>
      <w:r>
        <w:rPr>
          <w:rFonts w:ascii="Times New Roman" w:eastAsia="Times New Roman" w:hAnsi="Times New Roman" w:cs="Times New Roman"/>
          <w:color w:val="3D3F42"/>
          <w:sz w:val="24"/>
          <w:szCs w:val="24"/>
          <w:highlight w:val="white"/>
        </w:rPr>
        <w:t xml:space="preserve"> the Lord </w:t>
      </w:r>
      <w:proofErr w:type="spellStart"/>
      <w:r>
        <w:rPr>
          <w:rFonts w:ascii="Times New Roman" w:eastAsia="Times New Roman" w:hAnsi="Times New Roman" w:cs="Times New Roman"/>
          <w:color w:val="3D3F42"/>
          <w:sz w:val="24"/>
          <w:szCs w:val="24"/>
          <w:highlight w:val="white"/>
        </w:rPr>
        <w:t>Propry</w:t>
      </w:r>
      <w:proofErr w:type="spellEnd"/>
      <w:r>
        <w:rPr>
          <w:rFonts w:ascii="Times New Roman" w:eastAsia="Times New Roman" w:hAnsi="Times New Roman" w:cs="Times New Roman"/>
          <w:color w:val="3D3F42"/>
          <w:sz w:val="24"/>
          <w:szCs w:val="24"/>
          <w:highlight w:val="white"/>
        </w:rPr>
        <w:t xml:space="preserve"> of this province and the said Kings of Pocomoke and Assateague upon articles hereafter in this treaty to be agreed upon to the worlds end to endure and all former Acts of Hostility and damages whatsoever </w:t>
      </w:r>
      <w:proofErr w:type="spellStart"/>
      <w:r>
        <w:rPr>
          <w:rFonts w:ascii="Times New Roman" w:eastAsia="Times New Roman" w:hAnsi="Times New Roman" w:cs="Times New Roman"/>
          <w:color w:val="3D3F42"/>
          <w:sz w:val="24"/>
          <w:szCs w:val="24"/>
          <w:highlight w:val="white"/>
        </w:rPr>
        <w:t>sustaind</w:t>
      </w:r>
      <w:proofErr w:type="spellEnd"/>
      <w:r>
        <w:rPr>
          <w:rFonts w:ascii="Times New Roman" w:eastAsia="Times New Roman" w:hAnsi="Times New Roman" w:cs="Times New Roman"/>
          <w:color w:val="3D3F42"/>
          <w:sz w:val="24"/>
          <w:szCs w:val="24"/>
          <w:highlight w:val="white"/>
        </w:rPr>
        <w:t xml:space="preserve"> to be </w:t>
      </w:r>
      <w:proofErr w:type="spellStart"/>
      <w:r>
        <w:rPr>
          <w:rFonts w:ascii="Times New Roman" w:eastAsia="Times New Roman" w:hAnsi="Times New Roman" w:cs="Times New Roman"/>
          <w:color w:val="3D3F42"/>
          <w:sz w:val="24"/>
          <w:szCs w:val="24"/>
          <w:highlight w:val="white"/>
        </w:rPr>
        <w:t>buryed</w:t>
      </w:r>
      <w:proofErr w:type="spellEnd"/>
      <w:r>
        <w:rPr>
          <w:rFonts w:ascii="Times New Roman" w:eastAsia="Times New Roman" w:hAnsi="Times New Roman" w:cs="Times New Roman"/>
          <w:color w:val="3D3F42"/>
          <w:sz w:val="24"/>
          <w:szCs w:val="24"/>
          <w:highlight w:val="white"/>
        </w:rPr>
        <w:t xml:space="preserve"> in </w:t>
      </w:r>
      <w:proofErr w:type="spellStart"/>
      <w:r>
        <w:rPr>
          <w:rFonts w:ascii="Times New Roman" w:eastAsia="Times New Roman" w:hAnsi="Times New Roman" w:cs="Times New Roman"/>
          <w:color w:val="3D3F42"/>
          <w:sz w:val="24"/>
          <w:szCs w:val="24"/>
          <w:highlight w:val="white"/>
        </w:rPr>
        <w:t>perpetuall</w:t>
      </w:r>
      <w:proofErr w:type="spellEnd"/>
      <w:r>
        <w:rPr>
          <w:rFonts w:ascii="Times New Roman" w:eastAsia="Times New Roman" w:hAnsi="Times New Roman" w:cs="Times New Roman"/>
          <w:color w:val="3D3F42"/>
          <w:sz w:val="24"/>
          <w:szCs w:val="24"/>
          <w:highlight w:val="white"/>
        </w:rPr>
        <w:t xml:space="preserve"> oblivion That if any Indian subject to the said Kings shall hereafter kill and English man </w:t>
      </w:r>
      <w:proofErr w:type="spellStart"/>
      <w:r>
        <w:rPr>
          <w:rFonts w:ascii="Times New Roman" w:eastAsia="Times New Roman" w:hAnsi="Times New Roman" w:cs="Times New Roman"/>
          <w:color w:val="3D3F42"/>
          <w:sz w:val="24"/>
          <w:szCs w:val="24"/>
          <w:highlight w:val="white"/>
        </w:rPr>
        <w:t>the</w:t>
      </w:r>
      <w:proofErr w:type="spellEnd"/>
      <w:r>
        <w:rPr>
          <w:rFonts w:ascii="Times New Roman" w:eastAsia="Times New Roman" w:hAnsi="Times New Roman" w:cs="Times New Roman"/>
          <w:color w:val="3D3F42"/>
          <w:sz w:val="24"/>
          <w:szCs w:val="24"/>
          <w:highlight w:val="white"/>
        </w:rPr>
        <w:t xml:space="preserve"> said Kings shall be </w:t>
      </w:r>
      <w:proofErr w:type="spellStart"/>
      <w:r>
        <w:rPr>
          <w:rFonts w:ascii="Times New Roman" w:eastAsia="Times New Roman" w:hAnsi="Times New Roman" w:cs="Times New Roman"/>
          <w:color w:val="3D3F42"/>
          <w:sz w:val="24"/>
          <w:szCs w:val="24"/>
          <w:highlight w:val="white"/>
        </w:rPr>
        <w:t>oblidgd</w:t>
      </w:r>
      <w:proofErr w:type="spellEnd"/>
      <w:r>
        <w:rPr>
          <w:rFonts w:ascii="Times New Roman" w:eastAsia="Times New Roman" w:hAnsi="Times New Roman" w:cs="Times New Roman"/>
          <w:color w:val="3D3F42"/>
          <w:sz w:val="24"/>
          <w:szCs w:val="24"/>
          <w:highlight w:val="white"/>
        </w:rPr>
        <w:t xml:space="preserve"> to deliver such Indian up to the </w:t>
      </w:r>
      <w:proofErr w:type="spellStart"/>
      <w:r>
        <w:rPr>
          <w:rFonts w:ascii="Times New Roman" w:eastAsia="Times New Roman" w:hAnsi="Times New Roman" w:cs="Times New Roman"/>
          <w:color w:val="3D3F42"/>
          <w:sz w:val="24"/>
          <w:szCs w:val="24"/>
          <w:highlight w:val="white"/>
        </w:rPr>
        <w:t>Governour</w:t>
      </w:r>
      <w:proofErr w:type="spellEnd"/>
      <w:r>
        <w:rPr>
          <w:rFonts w:ascii="Times New Roman" w:eastAsia="Times New Roman" w:hAnsi="Times New Roman" w:cs="Times New Roman"/>
          <w:color w:val="3D3F42"/>
          <w:sz w:val="24"/>
          <w:szCs w:val="24"/>
          <w:highlight w:val="white"/>
        </w:rPr>
        <w:t xml:space="preserve"> of this province as a prisoner Forasmuch as the English cannot easily distinguish one Indian from another that no Indian shall come into any English </w:t>
      </w:r>
      <w:proofErr w:type="spellStart"/>
      <w:r>
        <w:rPr>
          <w:rFonts w:ascii="Times New Roman" w:eastAsia="Times New Roman" w:hAnsi="Times New Roman" w:cs="Times New Roman"/>
          <w:color w:val="3D3F42"/>
          <w:sz w:val="24"/>
          <w:szCs w:val="24"/>
          <w:highlight w:val="white"/>
        </w:rPr>
        <w:t>plantatcon</w:t>
      </w:r>
      <w:proofErr w:type="spellEnd"/>
      <w:r>
        <w:rPr>
          <w:rFonts w:ascii="Times New Roman" w:eastAsia="Times New Roman" w:hAnsi="Times New Roman" w:cs="Times New Roman"/>
          <w:color w:val="3D3F42"/>
          <w:sz w:val="24"/>
          <w:szCs w:val="24"/>
          <w:highlight w:val="white"/>
        </w:rPr>
        <w:t xml:space="preserve"> painted and that all the Indians shall be bound to call aloud before they come within three hundred paces of any English Mans Clear Ground and lay down their Arms whether </w:t>
      </w:r>
      <w:r>
        <w:rPr>
          <w:rFonts w:ascii="Times New Roman" w:eastAsia="Times New Roman" w:hAnsi="Times New Roman" w:cs="Times New Roman"/>
          <w:color w:val="3D3F42"/>
          <w:sz w:val="24"/>
          <w:szCs w:val="24"/>
          <w:highlight w:val="white"/>
        </w:rPr>
        <w:lastRenderedPageBreak/>
        <w:t>guns Bows and Arrows or other Weapons for any Englishman that shall appear upon their call to take up and in case that no one appears that they shall there leave their ^said^ Arms.”</w:t>
      </w:r>
    </w:p>
    <w:p w14:paraId="420E1864" w14:textId="77777777" w:rsidR="004C2B5A" w:rsidRDefault="004C2B5A">
      <w:pPr>
        <w:rPr>
          <w:rFonts w:ascii="Times New Roman" w:eastAsia="Times New Roman" w:hAnsi="Times New Roman" w:cs="Times New Roman"/>
          <w:color w:val="3D3F42"/>
          <w:sz w:val="24"/>
          <w:szCs w:val="24"/>
        </w:rPr>
      </w:pPr>
    </w:p>
    <w:p w14:paraId="31CA88B3" w14:textId="77777777" w:rsidR="004C2B5A" w:rsidRDefault="00000000">
      <w:pPr>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 xml:space="preserve">Document 3:  </w:t>
      </w:r>
    </w:p>
    <w:p w14:paraId="41EB02BC" w14:textId="77777777" w:rsidR="004C2B5A" w:rsidRDefault="00000000">
      <w:pPr>
        <w:rPr>
          <w:rFonts w:ascii="Times New Roman" w:eastAsia="Times New Roman" w:hAnsi="Times New Roman" w:cs="Times New Roman"/>
          <w:b/>
          <w:i/>
          <w:sz w:val="24"/>
          <w:szCs w:val="24"/>
        </w:rPr>
      </w:pPr>
      <w:r>
        <w:rPr>
          <w:rFonts w:ascii="Times New Roman" w:eastAsia="Times New Roman" w:hAnsi="Times New Roman" w:cs="Times New Roman"/>
          <w:b/>
          <w:color w:val="3D3F42"/>
          <w:sz w:val="24"/>
          <w:szCs w:val="24"/>
        </w:rPr>
        <w:t xml:space="preserve">Source: </w:t>
      </w:r>
      <w:r>
        <w:rPr>
          <w:rFonts w:ascii="Times New Roman" w:eastAsia="Times New Roman" w:hAnsi="Times New Roman" w:cs="Times New Roman"/>
          <w:b/>
          <w:sz w:val="24"/>
          <w:szCs w:val="24"/>
        </w:rPr>
        <w:t xml:space="preserve">Before and After photos of Native children at the Carlisle Indian Industrial School in Pennsylvania, circa 1900, </w:t>
      </w:r>
      <w:r>
        <w:rPr>
          <w:rFonts w:ascii="Times New Roman" w:eastAsia="Times New Roman" w:hAnsi="Times New Roman" w:cs="Times New Roman"/>
          <w:b/>
          <w:i/>
          <w:sz w:val="24"/>
          <w:szCs w:val="24"/>
        </w:rPr>
        <w:t>Dickinson College Archives</w:t>
      </w:r>
    </w:p>
    <w:p w14:paraId="6FD4B99D" w14:textId="77777777" w:rsidR="004C2B5A" w:rsidRDefault="004C2B5A">
      <w:pPr>
        <w:rPr>
          <w:rFonts w:ascii="Times New Roman" w:eastAsia="Times New Roman" w:hAnsi="Times New Roman" w:cs="Times New Roman"/>
          <w:b/>
          <w:i/>
          <w:sz w:val="24"/>
          <w:szCs w:val="24"/>
        </w:rPr>
      </w:pPr>
      <w:hyperlink r:id="rId12">
        <w:r>
          <w:rPr>
            <w:rFonts w:ascii="Times New Roman" w:eastAsia="Times New Roman" w:hAnsi="Times New Roman" w:cs="Times New Roman"/>
            <w:b/>
            <w:i/>
            <w:color w:val="1155CC"/>
            <w:sz w:val="24"/>
            <w:szCs w:val="24"/>
            <w:u w:val="single"/>
          </w:rPr>
          <w:t>https://www.kare11.com/gallery/news/local/archives-the-faces-of-native-american-boarding-schools/89-80fb89be-e71f-48dd-82d3-dd23cd3db5d8</w:t>
        </w:r>
      </w:hyperlink>
      <w:r w:rsidR="00000000">
        <w:rPr>
          <w:rFonts w:ascii="Times New Roman" w:eastAsia="Times New Roman" w:hAnsi="Times New Roman" w:cs="Times New Roman"/>
          <w:b/>
          <w:i/>
          <w:sz w:val="24"/>
          <w:szCs w:val="24"/>
        </w:rPr>
        <w:t xml:space="preserve"> </w:t>
      </w:r>
    </w:p>
    <w:p w14:paraId="4EE1BBA3" w14:textId="77777777" w:rsidR="004C2B5A" w:rsidRDefault="00000000">
      <w:pPr>
        <w:jc w:val="center"/>
        <w:rPr>
          <w:rFonts w:ascii="Times New Roman" w:eastAsia="Times New Roman" w:hAnsi="Times New Roman" w:cs="Times New Roman"/>
          <w:color w:val="3D3F42"/>
          <w:sz w:val="24"/>
          <w:szCs w:val="24"/>
        </w:rPr>
      </w:pPr>
      <w:r>
        <w:rPr>
          <w:rFonts w:ascii="Times New Roman" w:eastAsia="Times New Roman" w:hAnsi="Times New Roman" w:cs="Times New Roman"/>
          <w:noProof/>
          <w:color w:val="3D3F42"/>
          <w:sz w:val="24"/>
          <w:szCs w:val="24"/>
        </w:rPr>
        <w:drawing>
          <wp:inline distT="114300" distB="114300" distL="114300" distR="114300" wp14:anchorId="1512EAFF" wp14:editId="778DFE33">
            <wp:extent cx="4662488" cy="3491047"/>
            <wp:effectExtent l="0" t="0" r="0" b="0"/>
            <wp:docPr id="3" name="image2.png" descr="Left: Three American Indian boys in traditional dress. Right: three American Indian boys in western clothes people sitting on a bench"/>
            <wp:cNvGraphicFramePr/>
            <a:graphic xmlns:a="http://schemas.openxmlformats.org/drawingml/2006/main">
              <a:graphicData uri="http://schemas.openxmlformats.org/drawingml/2006/picture">
                <pic:pic xmlns:pic="http://schemas.openxmlformats.org/drawingml/2006/picture">
                  <pic:nvPicPr>
                    <pic:cNvPr id="3" name="image2.png" descr="Left: Three American Indian boys in traditional dress. Right: three American Indian boys in western clothes people sitting on a bench"/>
                    <pic:cNvPicPr preferRelativeResize="0"/>
                  </pic:nvPicPr>
                  <pic:blipFill>
                    <a:blip r:embed="rId13"/>
                    <a:srcRect/>
                    <a:stretch>
                      <a:fillRect/>
                    </a:stretch>
                  </pic:blipFill>
                  <pic:spPr>
                    <a:xfrm>
                      <a:off x="0" y="0"/>
                      <a:ext cx="4662488" cy="3491047"/>
                    </a:xfrm>
                    <a:prstGeom prst="rect">
                      <a:avLst/>
                    </a:prstGeom>
                    <a:ln/>
                  </pic:spPr>
                </pic:pic>
              </a:graphicData>
            </a:graphic>
          </wp:inline>
        </w:drawing>
      </w:r>
    </w:p>
    <w:p w14:paraId="44E842F1" w14:textId="77777777" w:rsidR="004C2B5A" w:rsidRDefault="00000000">
      <w:pPr>
        <w:jc w:val="center"/>
        <w:rPr>
          <w:rFonts w:ascii="Times New Roman" w:eastAsia="Times New Roman" w:hAnsi="Times New Roman" w:cs="Times New Roman"/>
          <w:color w:val="3D3F42"/>
          <w:sz w:val="24"/>
          <w:szCs w:val="24"/>
        </w:rPr>
      </w:pPr>
      <w:r>
        <w:rPr>
          <w:rFonts w:ascii="Times New Roman" w:eastAsia="Times New Roman" w:hAnsi="Times New Roman" w:cs="Times New Roman"/>
          <w:noProof/>
          <w:color w:val="3D3F42"/>
          <w:sz w:val="24"/>
          <w:szCs w:val="24"/>
        </w:rPr>
        <w:lastRenderedPageBreak/>
        <w:drawing>
          <wp:inline distT="114300" distB="114300" distL="114300" distR="114300" wp14:anchorId="25355735" wp14:editId="524521FA">
            <wp:extent cx="4615744" cy="3163937"/>
            <wp:effectExtent l="0" t="0" r="0" b="0"/>
            <wp:docPr id="4" name="image3.png" descr="Left: Two American Indian boys and two girls in traditional dress. Right: the same four children in western clothes."/>
            <wp:cNvGraphicFramePr/>
            <a:graphic xmlns:a="http://schemas.openxmlformats.org/drawingml/2006/main">
              <a:graphicData uri="http://schemas.openxmlformats.org/drawingml/2006/picture">
                <pic:pic xmlns:pic="http://schemas.openxmlformats.org/drawingml/2006/picture">
                  <pic:nvPicPr>
                    <pic:cNvPr id="4" name="image3.png" descr="Left: Two American Indian boys and two girls in traditional dress. Right: the same four children in western clothes."/>
                    <pic:cNvPicPr preferRelativeResize="0"/>
                  </pic:nvPicPr>
                  <pic:blipFill>
                    <a:blip r:embed="rId14"/>
                    <a:srcRect/>
                    <a:stretch>
                      <a:fillRect/>
                    </a:stretch>
                  </pic:blipFill>
                  <pic:spPr>
                    <a:xfrm>
                      <a:off x="0" y="0"/>
                      <a:ext cx="4615744" cy="3163937"/>
                    </a:xfrm>
                    <a:prstGeom prst="rect">
                      <a:avLst/>
                    </a:prstGeom>
                    <a:ln/>
                  </pic:spPr>
                </pic:pic>
              </a:graphicData>
            </a:graphic>
          </wp:inline>
        </w:drawing>
      </w:r>
    </w:p>
    <w:p w14:paraId="1D5CF284" w14:textId="77777777" w:rsidR="004C2B5A" w:rsidRDefault="004C2B5A">
      <w:pPr>
        <w:rPr>
          <w:rFonts w:ascii="Times New Roman" w:eastAsia="Times New Roman" w:hAnsi="Times New Roman" w:cs="Times New Roman"/>
          <w:color w:val="3D3F42"/>
          <w:sz w:val="24"/>
          <w:szCs w:val="24"/>
        </w:rPr>
      </w:pPr>
    </w:p>
    <w:p w14:paraId="11D07910" w14:textId="77777777" w:rsidR="004C2B5A" w:rsidRDefault="00000000">
      <w:pPr>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 xml:space="preserve">Document 4: </w:t>
      </w:r>
    </w:p>
    <w:p w14:paraId="05C11CC1" w14:textId="77777777" w:rsidR="004C2B5A" w:rsidRDefault="00000000">
      <w:pPr>
        <w:rPr>
          <w:rFonts w:ascii="Times New Roman" w:eastAsia="Times New Roman" w:hAnsi="Times New Roman" w:cs="Times New Roman"/>
          <w:b/>
          <w:color w:val="A71930"/>
          <w:sz w:val="24"/>
          <w:szCs w:val="24"/>
        </w:rPr>
      </w:pPr>
      <w:r>
        <w:rPr>
          <w:rFonts w:ascii="Times New Roman" w:eastAsia="Times New Roman" w:hAnsi="Times New Roman" w:cs="Times New Roman"/>
          <w:b/>
          <w:color w:val="3D3F42"/>
          <w:sz w:val="24"/>
          <w:szCs w:val="24"/>
        </w:rPr>
        <w:t xml:space="preserve">Source: “Jefferson’s Excavation of a Native American Burial Ground”, </w:t>
      </w:r>
      <w:hyperlink r:id="rId15" w:anchor=":~:text=The%20mound%20excavated%20by%20Jefferson,at%20this%20site%20is%20ongoing">
        <w:r w:rsidR="004C2B5A">
          <w:rPr>
            <w:rFonts w:ascii="Times New Roman" w:eastAsia="Times New Roman" w:hAnsi="Times New Roman" w:cs="Times New Roman"/>
            <w:b/>
            <w:color w:val="1155CC"/>
            <w:sz w:val="24"/>
            <w:szCs w:val="24"/>
            <w:u w:val="single"/>
          </w:rPr>
          <w:t>Monticello.org</w:t>
        </w:r>
      </w:hyperlink>
      <w:r>
        <w:rPr>
          <w:rFonts w:ascii="Times New Roman" w:eastAsia="Times New Roman" w:hAnsi="Times New Roman" w:cs="Times New Roman"/>
          <w:b/>
          <w:color w:val="3D3F42"/>
          <w:sz w:val="24"/>
          <w:szCs w:val="24"/>
        </w:rPr>
        <w:br/>
      </w:r>
      <w:r>
        <w:rPr>
          <w:rFonts w:ascii="Times New Roman" w:eastAsia="Times New Roman" w:hAnsi="Times New Roman" w:cs="Times New Roman"/>
          <w:b/>
          <w:color w:val="3D3F42"/>
          <w:sz w:val="24"/>
          <w:szCs w:val="24"/>
        </w:rPr>
        <w:br/>
      </w:r>
      <w:r>
        <w:rPr>
          <w:rFonts w:ascii="Times New Roman" w:eastAsia="Times New Roman" w:hAnsi="Times New Roman" w:cs="Times New Roman"/>
          <w:color w:val="403C36"/>
          <w:sz w:val="24"/>
          <w:szCs w:val="24"/>
        </w:rPr>
        <w:t>The mound excavated by Jefferson is on the right (south) bank of the South Fork of the Rivanna River just north of Charlottesville and has been explored by archaeologists on several occasions, most recently by members of the Anthropology Department of the University of Virginia.</w:t>
      </w:r>
      <w:hyperlink r:id="rId16" w:anchor="fn-22">
        <w:r w:rsidR="004C2B5A">
          <w:rPr>
            <w:rFonts w:ascii="Times New Roman" w:eastAsia="Times New Roman" w:hAnsi="Times New Roman" w:cs="Times New Roman"/>
            <w:b/>
            <w:color w:val="A71930"/>
            <w:sz w:val="24"/>
            <w:szCs w:val="24"/>
          </w:rPr>
          <w:t>[22]</w:t>
        </w:r>
      </w:hyperlink>
      <w:r>
        <w:rPr>
          <w:rFonts w:ascii="Times New Roman" w:eastAsia="Times New Roman" w:hAnsi="Times New Roman" w:cs="Times New Roman"/>
          <w:color w:val="403C36"/>
          <w:sz w:val="24"/>
          <w:szCs w:val="24"/>
        </w:rPr>
        <w:t xml:space="preserve"> However, as early as 1911, Bushnell explored the area and reported that the mound had "entirely disappeared," most likely washed away due to flooding in the lowland where Jefferson found it.</w:t>
      </w:r>
      <w:hyperlink r:id="rId17" w:anchor="fn-23">
        <w:r w:rsidR="004C2B5A">
          <w:rPr>
            <w:rFonts w:ascii="Times New Roman" w:eastAsia="Times New Roman" w:hAnsi="Times New Roman" w:cs="Times New Roman"/>
            <w:b/>
            <w:color w:val="A71930"/>
            <w:sz w:val="24"/>
            <w:szCs w:val="24"/>
          </w:rPr>
          <w:t>[23]</w:t>
        </w:r>
      </w:hyperlink>
      <w:r>
        <w:rPr>
          <w:rFonts w:ascii="Times New Roman" w:eastAsia="Times New Roman" w:hAnsi="Times New Roman" w:cs="Times New Roman"/>
          <w:color w:val="403C36"/>
          <w:sz w:val="24"/>
          <w:szCs w:val="24"/>
        </w:rPr>
        <w:t xml:space="preserve"> The associated Monacan village of </w:t>
      </w:r>
      <w:proofErr w:type="spellStart"/>
      <w:r>
        <w:rPr>
          <w:rFonts w:ascii="Times New Roman" w:eastAsia="Times New Roman" w:hAnsi="Times New Roman" w:cs="Times New Roman"/>
          <w:color w:val="403C36"/>
          <w:sz w:val="24"/>
          <w:szCs w:val="24"/>
        </w:rPr>
        <w:t>Monasukapanough</w:t>
      </w:r>
      <w:proofErr w:type="spellEnd"/>
      <w:r>
        <w:rPr>
          <w:rFonts w:ascii="Times New Roman" w:eastAsia="Times New Roman" w:hAnsi="Times New Roman" w:cs="Times New Roman"/>
          <w:color w:val="403C36"/>
          <w:sz w:val="24"/>
          <w:szCs w:val="24"/>
        </w:rPr>
        <w:t xml:space="preserve"> probably occupied both banks of the South Fork at this point.</w:t>
      </w:r>
      <w:hyperlink r:id="rId18" w:anchor="fn-24">
        <w:r w:rsidR="004C2B5A">
          <w:rPr>
            <w:rFonts w:ascii="Times New Roman" w:eastAsia="Times New Roman" w:hAnsi="Times New Roman" w:cs="Times New Roman"/>
            <w:b/>
            <w:color w:val="A71930"/>
            <w:sz w:val="24"/>
            <w:szCs w:val="24"/>
          </w:rPr>
          <w:t>[24]</w:t>
        </w:r>
      </w:hyperlink>
      <w:r>
        <w:rPr>
          <w:rFonts w:ascii="Times New Roman" w:eastAsia="Times New Roman" w:hAnsi="Times New Roman" w:cs="Times New Roman"/>
          <w:color w:val="403C36"/>
          <w:sz w:val="24"/>
          <w:szCs w:val="24"/>
        </w:rPr>
        <w:t xml:space="preserve"> Research at this site is ongoing.</w:t>
      </w:r>
      <w:hyperlink r:id="rId19" w:anchor="fn-25">
        <w:r w:rsidR="004C2B5A">
          <w:rPr>
            <w:rFonts w:ascii="Times New Roman" w:eastAsia="Times New Roman" w:hAnsi="Times New Roman" w:cs="Times New Roman"/>
            <w:b/>
            <w:color w:val="A71930"/>
            <w:sz w:val="24"/>
            <w:szCs w:val="24"/>
          </w:rPr>
          <w:t>[25]</w:t>
        </w:r>
        <w:r w:rsidR="004C2B5A">
          <w:rPr>
            <w:rFonts w:ascii="Times New Roman" w:eastAsia="Times New Roman" w:hAnsi="Times New Roman" w:cs="Times New Roman"/>
            <w:b/>
            <w:color w:val="A71930"/>
            <w:sz w:val="24"/>
            <w:szCs w:val="24"/>
          </w:rPr>
          <w:br/>
        </w:r>
        <w:r w:rsidR="004C2B5A">
          <w:rPr>
            <w:rFonts w:ascii="Times New Roman" w:eastAsia="Times New Roman" w:hAnsi="Times New Roman" w:cs="Times New Roman"/>
            <w:b/>
            <w:color w:val="A71930"/>
            <w:sz w:val="24"/>
            <w:szCs w:val="24"/>
          </w:rPr>
          <w:br/>
        </w:r>
      </w:hyperlink>
      <w:r>
        <w:rPr>
          <w:rFonts w:ascii="Times New Roman" w:eastAsia="Times New Roman" w:hAnsi="Times New Roman" w:cs="Times New Roman"/>
          <w:color w:val="403C36"/>
          <w:sz w:val="24"/>
          <w:szCs w:val="24"/>
        </w:rPr>
        <w:t>The original territory of the Monacan Indian Nation and their allies once "comprised more than half the state of Virginia, including almost all of the Piedmont region and parts of the Blue Ridge Mountains." These Indigenous people were mound builders, placing the remains of their dead over time in sacred earthen graves.</w:t>
      </w:r>
      <w:hyperlink r:id="rId20" w:anchor="fn-26">
        <w:r w:rsidR="004C2B5A">
          <w:rPr>
            <w:rFonts w:ascii="Times New Roman" w:eastAsia="Times New Roman" w:hAnsi="Times New Roman" w:cs="Times New Roman"/>
            <w:b/>
            <w:color w:val="A71930"/>
            <w:sz w:val="24"/>
            <w:szCs w:val="24"/>
          </w:rPr>
          <w:t>[26]</w:t>
        </w:r>
      </w:hyperlink>
      <w:r>
        <w:rPr>
          <w:rFonts w:ascii="Times New Roman" w:eastAsia="Times New Roman" w:hAnsi="Times New Roman" w:cs="Times New Roman"/>
          <w:color w:val="403C36"/>
          <w:sz w:val="24"/>
          <w:szCs w:val="24"/>
        </w:rPr>
        <w:t xml:space="preserve"> Charles Thomson gave an eyewitness account of these burial rituals as part of his extensive comments on a draft of Jefferson's </w:t>
      </w:r>
      <w:r>
        <w:rPr>
          <w:rFonts w:ascii="Times New Roman" w:eastAsia="Times New Roman" w:hAnsi="Times New Roman" w:cs="Times New Roman"/>
          <w:i/>
          <w:color w:val="403C36"/>
          <w:sz w:val="24"/>
          <w:szCs w:val="24"/>
        </w:rPr>
        <w:t>Notes</w:t>
      </w:r>
      <w:r>
        <w:rPr>
          <w:rFonts w:ascii="Times New Roman" w:eastAsia="Times New Roman" w:hAnsi="Times New Roman" w:cs="Times New Roman"/>
          <w:color w:val="403C36"/>
          <w:sz w:val="24"/>
          <w:szCs w:val="24"/>
        </w:rPr>
        <w:t xml:space="preserve">, which Jefferson included as an appendix to </w:t>
      </w:r>
      <w:r>
        <w:rPr>
          <w:rFonts w:ascii="Times New Roman" w:eastAsia="Times New Roman" w:hAnsi="Times New Roman" w:cs="Times New Roman"/>
          <w:i/>
          <w:color w:val="403C36"/>
          <w:sz w:val="24"/>
          <w:szCs w:val="24"/>
        </w:rPr>
        <w:t>Notes</w:t>
      </w:r>
      <w:r>
        <w:rPr>
          <w:rFonts w:ascii="Times New Roman" w:eastAsia="Times New Roman" w:hAnsi="Times New Roman" w:cs="Times New Roman"/>
          <w:color w:val="403C36"/>
          <w:sz w:val="24"/>
          <w:szCs w:val="24"/>
        </w:rPr>
        <w:t>.</w:t>
      </w:r>
      <w:hyperlink r:id="rId21" w:anchor="fn-27">
        <w:r w:rsidR="004C2B5A">
          <w:rPr>
            <w:rFonts w:ascii="Times New Roman" w:eastAsia="Times New Roman" w:hAnsi="Times New Roman" w:cs="Times New Roman"/>
            <w:b/>
            <w:color w:val="A71930"/>
            <w:sz w:val="24"/>
            <w:szCs w:val="24"/>
          </w:rPr>
          <w:t>[27]</w:t>
        </w:r>
        <w:r w:rsidR="004C2B5A">
          <w:rPr>
            <w:rFonts w:ascii="Times New Roman" w:eastAsia="Times New Roman" w:hAnsi="Times New Roman" w:cs="Times New Roman"/>
            <w:b/>
            <w:color w:val="A71930"/>
            <w:sz w:val="24"/>
            <w:szCs w:val="24"/>
          </w:rPr>
          <w:br/>
        </w:r>
        <w:r w:rsidR="004C2B5A">
          <w:rPr>
            <w:rFonts w:ascii="Times New Roman" w:eastAsia="Times New Roman" w:hAnsi="Times New Roman" w:cs="Times New Roman"/>
            <w:b/>
            <w:color w:val="A71930"/>
            <w:sz w:val="24"/>
            <w:szCs w:val="24"/>
          </w:rPr>
          <w:br/>
        </w:r>
      </w:hyperlink>
      <w:r>
        <w:rPr>
          <w:rFonts w:ascii="Times New Roman" w:eastAsia="Times New Roman" w:hAnsi="Times New Roman" w:cs="Times New Roman"/>
          <w:color w:val="403C36"/>
          <w:sz w:val="24"/>
          <w:szCs w:val="24"/>
        </w:rPr>
        <w:t>Jefferson's excavation of the burial mound earned him the title of "Father of American Archaeology" and "first American archaeologist" by many scholars.</w:t>
      </w:r>
      <w:hyperlink r:id="rId22" w:anchor="fn-28">
        <w:r w:rsidR="004C2B5A">
          <w:rPr>
            <w:rFonts w:ascii="Times New Roman" w:eastAsia="Times New Roman" w:hAnsi="Times New Roman" w:cs="Times New Roman"/>
            <w:b/>
            <w:color w:val="A71930"/>
            <w:sz w:val="24"/>
            <w:szCs w:val="24"/>
          </w:rPr>
          <w:t>[28]</w:t>
        </w:r>
      </w:hyperlink>
      <w:r>
        <w:rPr>
          <w:rFonts w:ascii="Times New Roman" w:eastAsia="Times New Roman" w:hAnsi="Times New Roman" w:cs="Times New Roman"/>
          <w:color w:val="403C36"/>
          <w:sz w:val="24"/>
          <w:szCs w:val="24"/>
        </w:rPr>
        <w:t xml:space="preserve"> His systematic trenching and use of stratigraphy (i.e., stratigraphic observation) as part of his exploration of the burial mound "anticipates the fundamental approach and the methods of modern archaeology by about a full century."</w:t>
      </w:r>
      <w:hyperlink r:id="rId23" w:anchor="fn-29">
        <w:r w:rsidR="004C2B5A">
          <w:rPr>
            <w:rFonts w:ascii="Times New Roman" w:eastAsia="Times New Roman" w:hAnsi="Times New Roman" w:cs="Times New Roman"/>
            <w:b/>
            <w:color w:val="A71930"/>
            <w:sz w:val="24"/>
            <w:szCs w:val="24"/>
          </w:rPr>
          <w:t>[29]</w:t>
        </w:r>
      </w:hyperlink>
    </w:p>
    <w:p w14:paraId="5C78C598" w14:textId="77777777" w:rsidR="004C2B5A" w:rsidRDefault="004C2B5A">
      <w:pPr>
        <w:rPr>
          <w:rFonts w:ascii="Times New Roman" w:eastAsia="Times New Roman" w:hAnsi="Times New Roman" w:cs="Times New Roman"/>
          <w:color w:val="3D3F42"/>
          <w:sz w:val="24"/>
          <w:szCs w:val="24"/>
        </w:rPr>
      </w:pPr>
    </w:p>
    <w:p w14:paraId="20413BE0" w14:textId="77777777" w:rsidR="004C2B5A" w:rsidRDefault="00000000">
      <w:pPr>
        <w:rPr>
          <w:rFonts w:ascii="Times New Roman" w:eastAsia="Times New Roman" w:hAnsi="Times New Roman" w:cs="Times New Roman"/>
          <w:color w:val="3D3F42"/>
          <w:sz w:val="24"/>
          <w:szCs w:val="24"/>
        </w:rPr>
      </w:pPr>
      <w:r>
        <w:rPr>
          <w:rFonts w:ascii="Times New Roman" w:eastAsia="Times New Roman" w:hAnsi="Times New Roman" w:cs="Times New Roman"/>
          <w:noProof/>
          <w:color w:val="3D3F42"/>
          <w:sz w:val="24"/>
          <w:szCs w:val="24"/>
        </w:rPr>
        <w:lastRenderedPageBreak/>
        <w:drawing>
          <wp:inline distT="114300" distB="114300" distL="114300" distR="114300" wp14:anchorId="0624D7B1" wp14:editId="6CA06F7A">
            <wp:extent cx="6186229" cy="2933942"/>
            <wp:effectExtent l="0" t="0" r="0" b="0"/>
            <wp:docPr id="2" name="image1.png" descr="A large hill structure with people standing around it"/>
            <wp:cNvGraphicFramePr/>
            <a:graphic xmlns:a="http://schemas.openxmlformats.org/drawingml/2006/main">
              <a:graphicData uri="http://schemas.openxmlformats.org/drawingml/2006/picture">
                <pic:pic xmlns:pic="http://schemas.openxmlformats.org/drawingml/2006/picture">
                  <pic:nvPicPr>
                    <pic:cNvPr id="2" name="image1.png" descr="A large hill structure with people standing around it"/>
                    <pic:cNvPicPr preferRelativeResize="0"/>
                  </pic:nvPicPr>
                  <pic:blipFill>
                    <a:blip r:embed="rId24"/>
                    <a:srcRect/>
                    <a:stretch>
                      <a:fillRect/>
                    </a:stretch>
                  </pic:blipFill>
                  <pic:spPr>
                    <a:xfrm>
                      <a:off x="0" y="0"/>
                      <a:ext cx="6186229" cy="2933942"/>
                    </a:xfrm>
                    <a:prstGeom prst="rect">
                      <a:avLst/>
                    </a:prstGeom>
                    <a:ln/>
                  </pic:spPr>
                </pic:pic>
              </a:graphicData>
            </a:graphic>
          </wp:inline>
        </w:drawing>
      </w:r>
    </w:p>
    <w:p w14:paraId="01A2CA2F" w14:textId="77777777" w:rsidR="004C2B5A" w:rsidRDefault="004C2B5A">
      <w:pPr>
        <w:rPr>
          <w:rFonts w:ascii="Times New Roman" w:eastAsia="Times New Roman" w:hAnsi="Times New Roman" w:cs="Times New Roman"/>
          <w:color w:val="3D3F42"/>
          <w:sz w:val="24"/>
          <w:szCs w:val="24"/>
        </w:rPr>
      </w:pPr>
    </w:p>
    <w:p w14:paraId="5D331D54" w14:textId="77777777" w:rsidR="004C2B5A" w:rsidRDefault="004C2B5A">
      <w:pPr>
        <w:rPr>
          <w:rFonts w:ascii="Times New Roman" w:eastAsia="Times New Roman" w:hAnsi="Times New Roman" w:cs="Times New Roman"/>
          <w:color w:val="3D3F42"/>
          <w:sz w:val="24"/>
          <w:szCs w:val="24"/>
        </w:rPr>
      </w:pPr>
    </w:p>
    <w:p w14:paraId="0CF8F876" w14:textId="77777777" w:rsidR="004C2B5A" w:rsidRDefault="00000000">
      <w:pPr>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Document 5:</w:t>
      </w:r>
    </w:p>
    <w:p w14:paraId="466076BF" w14:textId="77777777" w:rsidR="004C2B5A" w:rsidRDefault="00000000">
      <w:pPr>
        <w:rPr>
          <w:rFonts w:ascii="Times New Roman" w:eastAsia="Times New Roman" w:hAnsi="Times New Roman" w:cs="Times New Roman"/>
          <w:b/>
          <w:color w:val="3D3F42"/>
          <w:sz w:val="24"/>
          <w:szCs w:val="24"/>
        </w:rPr>
      </w:pPr>
      <w:r>
        <w:rPr>
          <w:rFonts w:ascii="Times New Roman" w:eastAsia="Times New Roman" w:hAnsi="Times New Roman" w:cs="Times New Roman"/>
          <w:b/>
          <w:color w:val="3D3F42"/>
          <w:sz w:val="24"/>
          <w:szCs w:val="24"/>
        </w:rPr>
        <w:t xml:space="preserve">Source: </w:t>
      </w:r>
      <w:r>
        <w:rPr>
          <w:rFonts w:ascii="Times New Roman" w:eastAsia="Times New Roman" w:hAnsi="Times New Roman" w:cs="Times New Roman"/>
          <w:b/>
          <w:i/>
          <w:color w:val="3D3F42"/>
          <w:sz w:val="24"/>
          <w:szCs w:val="24"/>
        </w:rPr>
        <w:t>Passages and Pathways: World Geography Part 2</w:t>
      </w:r>
      <w:r>
        <w:rPr>
          <w:rFonts w:ascii="Times New Roman" w:eastAsia="Times New Roman" w:hAnsi="Times New Roman" w:cs="Times New Roman"/>
          <w:b/>
          <w:color w:val="3D3F42"/>
          <w:sz w:val="24"/>
          <w:szCs w:val="24"/>
        </w:rPr>
        <w:t>, 2025 Smith Gibbs Education, Page 235</w:t>
      </w:r>
    </w:p>
    <w:p w14:paraId="7DB859D8" w14:textId="77777777" w:rsidR="004C2B5A" w:rsidRDefault="00000000">
      <w:pPr>
        <w:jc w:val="center"/>
        <w:rPr>
          <w:rFonts w:ascii="Times New Roman" w:eastAsia="Times New Roman" w:hAnsi="Times New Roman" w:cs="Times New Roman"/>
          <w:color w:val="3D3F42"/>
          <w:sz w:val="24"/>
          <w:szCs w:val="24"/>
        </w:rPr>
      </w:pPr>
      <w:r>
        <w:rPr>
          <w:rFonts w:ascii="Times New Roman" w:eastAsia="Times New Roman" w:hAnsi="Times New Roman" w:cs="Times New Roman"/>
          <w:noProof/>
          <w:color w:val="3D3F42"/>
          <w:sz w:val="24"/>
          <w:szCs w:val="24"/>
        </w:rPr>
        <w:lastRenderedPageBreak/>
        <w:drawing>
          <wp:inline distT="114300" distB="114300" distL="114300" distR="114300" wp14:anchorId="39712900" wp14:editId="78A9D3FE">
            <wp:extent cx="5091786" cy="7286867"/>
            <wp:effectExtent l="0" t="0" r="0" b="0"/>
            <wp:docPr id="5" name="image5.png" descr="maps of Indigenous sovereignty over time"/>
            <wp:cNvGraphicFramePr/>
            <a:graphic xmlns:a="http://schemas.openxmlformats.org/drawingml/2006/main">
              <a:graphicData uri="http://schemas.openxmlformats.org/drawingml/2006/picture">
                <pic:pic xmlns:pic="http://schemas.openxmlformats.org/drawingml/2006/picture">
                  <pic:nvPicPr>
                    <pic:cNvPr id="5" name="image5.png" descr="maps of Indigenous sovereignty over time"/>
                    <pic:cNvPicPr preferRelativeResize="0"/>
                  </pic:nvPicPr>
                  <pic:blipFill>
                    <a:blip r:embed="rId25"/>
                    <a:srcRect/>
                    <a:stretch>
                      <a:fillRect/>
                    </a:stretch>
                  </pic:blipFill>
                  <pic:spPr>
                    <a:xfrm>
                      <a:off x="0" y="0"/>
                      <a:ext cx="5091786" cy="7286867"/>
                    </a:xfrm>
                    <a:prstGeom prst="rect">
                      <a:avLst/>
                    </a:prstGeom>
                    <a:ln/>
                  </pic:spPr>
                </pic:pic>
              </a:graphicData>
            </a:graphic>
          </wp:inline>
        </w:drawing>
      </w:r>
    </w:p>
    <w:p w14:paraId="245BB938" w14:textId="77777777" w:rsidR="004C2B5A" w:rsidRDefault="00000000">
      <w:pPr>
        <w:jc w:val="center"/>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 xml:space="preserve"> </w:t>
      </w:r>
    </w:p>
    <w:p w14:paraId="6DDD55A9" w14:textId="77777777" w:rsidR="004C2B5A" w:rsidRDefault="00000000">
      <w:pPr>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 xml:space="preserve">Document 6: </w:t>
      </w:r>
    </w:p>
    <w:p w14:paraId="5F2C16B3" w14:textId="77777777" w:rsidR="004C2B5A" w:rsidRDefault="00000000">
      <w:pPr>
        <w:rPr>
          <w:b/>
        </w:rPr>
      </w:pPr>
      <w:r>
        <w:rPr>
          <w:rFonts w:ascii="Times New Roman" w:eastAsia="Times New Roman" w:hAnsi="Times New Roman" w:cs="Times New Roman"/>
          <w:b/>
          <w:color w:val="3D3F42"/>
          <w:sz w:val="24"/>
          <w:szCs w:val="24"/>
        </w:rPr>
        <w:t xml:space="preserve">Source: Port Tobacco times, and Charles County advertiser., July 29, 1887; “Old Deeds” This short news item tells of deeds of land sold by the Piscataway. The deeds are viewed as </w:t>
      </w:r>
      <w:r>
        <w:rPr>
          <w:rFonts w:ascii="Times New Roman" w:eastAsia="Times New Roman" w:hAnsi="Times New Roman" w:cs="Times New Roman"/>
          <w:b/>
          <w:color w:val="3D3F42"/>
          <w:sz w:val="24"/>
          <w:szCs w:val="24"/>
        </w:rPr>
        <w:lastRenderedPageBreak/>
        <w:t>relics because the author believed that “not a trace” of the Piscataway people remained in Maryland.</w:t>
      </w:r>
    </w:p>
    <w:p w14:paraId="396FB6DB" w14:textId="77777777" w:rsidR="004C2B5A" w:rsidRDefault="004C2B5A">
      <w:pPr>
        <w:rPr>
          <w:rFonts w:ascii="Times New Roman" w:eastAsia="Times New Roman" w:hAnsi="Times New Roman" w:cs="Times New Roman"/>
          <w:b/>
          <w:color w:val="1A1919"/>
          <w:sz w:val="24"/>
          <w:szCs w:val="24"/>
        </w:rPr>
      </w:pPr>
      <w:hyperlink r:id="rId26">
        <w:r>
          <w:rPr>
            <w:rFonts w:ascii="Times New Roman" w:eastAsia="Times New Roman" w:hAnsi="Times New Roman" w:cs="Times New Roman"/>
            <w:b/>
            <w:color w:val="1155CC"/>
            <w:sz w:val="24"/>
            <w:szCs w:val="24"/>
            <w:u w:val="single"/>
          </w:rPr>
          <w:t>https://chroniclingamerica.loc.gov/lccn/sn89060060/1887-07-29/ed-1/seq-3/</w:t>
        </w:r>
      </w:hyperlink>
      <w:r w:rsidR="00000000">
        <w:rPr>
          <w:rFonts w:ascii="Times New Roman" w:eastAsia="Times New Roman" w:hAnsi="Times New Roman" w:cs="Times New Roman"/>
          <w:b/>
          <w:sz w:val="24"/>
          <w:szCs w:val="24"/>
        </w:rPr>
        <w:t xml:space="preserve"> </w:t>
      </w:r>
      <w:r w:rsidR="00000000">
        <w:fldChar w:fldCharType="begin"/>
      </w:r>
      <w:r w:rsidR="00000000">
        <w:instrText xml:space="preserve"> HYPERLINK "https://chroniclingamerica.loc.gov/lccn/sn89060060/1887-07-29/ed-1/seq-3/" </w:instrText>
      </w:r>
      <w:r w:rsidR="00000000">
        <w:fldChar w:fldCharType="separate"/>
      </w:r>
    </w:p>
    <w:p w14:paraId="0DC6C3A2" w14:textId="77777777" w:rsidR="004C2B5A" w:rsidRDefault="00000000">
      <w:pPr>
        <w:rPr>
          <w:rFonts w:ascii="Times New Roman" w:eastAsia="Times New Roman" w:hAnsi="Times New Roman" w:cs="Times New Roman"/>
          <w:color w:val="3D3F42"/>
          <w:sz w:val="24"/>
          <w:szCs w:val="24"/>
        </w:rPr>
      </w:pPr>
      <w:r>
        <w:fldChar w:fldCharType="end"/>
      </w:r>
    </w:p>
    <w:p w14:paraId="1D4BC9B0" w14:textId="77777777" w:rsidR="004C2B5A" w:rsidRDefault="00000000">
      <w:pPr>
        <w:jc w:val="center"/>
        <w:rPr>
          <w:rFonts w:ascii="Times New Roman" w:eastAsia="Times New Roman" w:hAnsi="Times New Roman" w:cs="Times New Roman"/>
          <w:color w:val="3D3F42"/>
          <w:sz w:val="24"/>
          <w:szCs w:val="24"/>
        </w:rPr>
      </w:pPr>
      <w:r>
        <w:rPr>
          <w:rFonts w:ascii="Times New Roman" w:eastAsia="Times New Roman" w:hAnsi="Times New Roman" w:cs="Times New Roman"/>
          <w:noProof/>
          <w:color w:val="3D3F42"/>
          <w:sz w:val="24"/>
          <w:szCs w:val="24"/>
        </w:rPr>
        <w:drawing>
          <wp:inline distT="114300" distB="114300" distL="114300" distR="114300" wp14:anchorId="124BD9DE" wp14:editId="3D79FCE4">
            <wp:extent cx="3873217" cy="6214039"/>
            <wp:effectExtent l="0" t="0" r="0" b="0"/>
            <wp:docPr id="1" name="image4.png" descr="A page of a book"/>
            <wp:cNvGraphicFramePr/>
            <a:graphic xmlns:a="http://schemas.openxmlformats.org/drawingml/2006/main">
              <a:graphicData uri="http://schemas.openxmlformats.org/drawingml/2006/picture">
                <pic:pic xmlns:pic="http://schemas.openxmlformats.org/drawingml/2006/picture">
                  <pic:nvPicPr>
                    <pic:cNvPr id="1" name="image4.png" descr="A page of a book"/>
                    <pic:cNvPicPr preferRelativeResize="0"/>
                  </pic:nvPicPr>
                  <pic:blipFill>
                    <a:blip r:embed="rId27"/>
                    <a:srcRect/>
                    <a:stretch>
                      <a:fillRect/>
                    </a:stretch>
                  </pic:blipFill>
                  <pic:spPr>
                    <a:xfrm>
                      <a:off x="0" y="0"/>
                      <a:ext cx="3873217" cy="6214039"/>
                    </a:xfrm>
                    <a:prstGeom prst="rect">
                      <a:avLst/>
                    </a:prstGeom>
                    <a:ln/>
                  </pic:spPr>
                </pic:pic>
              </a:graphicData>
            </a:graphic>
          </wp:inline>
        </w:drawing>
      </w:r>
    </w:p>
    <w:p w14:paraId="7F852260" w14:textId="77777777" w:rsidR="004C2B5A" w:rsidRDefault="004C2B5A">
      <w:pPr>
        <w:rPr>
          <w:rFonts w:ascii="Times New Roman" w:eastAsia="Times New Roman" w:hAnsi="Times New Roman" w:cs="Times New Roman"/>
          <w:color w:val="3D3F42"/>
          <w:sz w:val="24"/>
          <w:szCs w:val="24"/>
        </w:rPr>
      </w:pPr>
    </w:p>
    <w:p w14:paraId="3184BAFB" w14:textId="77777777" w:rsidR="004C2B5A" w:rsidRDefault="004C2B5A">
      <w:pPr>
        <w:rPr>
          <w:rFonts w:ascii="Times New Roman" w:eastAsia="Times New Roman" w:hAnsi="Times New Roman" w:cs="Times New Roman"/>
          <w:color w:val="3D3F42"/>
          <w:sz w:val="24"/>
          <w:szCs w:val="24"/>
        </w:rPr>
      </w:pPr>
    </w:p>
    <w:p w14:paraId="4C05FDA2" w14:textId="77777777" w:rsidR="004C2B5A" w:rsidRDefault="00000000">
      <w:pPr>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Document 7:</w:t>
      </w:r>
    </w:p>
    <w:p w14:paraId="1CE01083" w14:textId="77777777" w:rsidR="004C2B5A" w:rsidRDefault="00000000">
      <w:pPr>
        <w:rPr>
          <w:rFonts w:ascii="Times New Roman" w:eastAsia="Times New Roman" w:hAnsi="Times New Roman" w:cs="Times New Roman"/>
          <w:b/>
          <w:color w:val="3D3F42"/>
          <w:sz w:val="24"/>
          <w:szCs w:val="24"/>
        </w:rPr>
      </w:pPr>
      <w:r>
        <w:rPr>
          <w:rFonts w:ascii="Times New Roman" w:eastAsia="Times New Roman" w:hAnsi="Times New Roman" w:cs="Times New Roman"/>
          <w:b/>
          <w:color w:val="3D3F42"/>
          <w:sz w:val="24"/>
          <w:szCs w:val="24"/>
        </w:rPr>
        <w:t xml:space="preserve">Source: </w:t>
      </w:r>
      <w:r>
        <w:rPr>
          <w:rFonts w:ascii="Times New Roman" w:eastAsia="Times New Roman" w:hAnsi="Times New Roman" w:cs="Times New Roman"/>
          <w:b/>
          <w:i/>
          <w:color w:val="3D3F42"/>
          <w:sz w:val="24"/>
          <w:szCs w:val="24"/>
        </w:rPr>
        <w:t xml:space="preserve">Proceedings of the Council of Maryland 1636-1667, Volume 3, </w:t>
      </w:r>
    </w:p>
    <w:p w14:paraId="5AE63134" w14:textId="77777777" w:rsidR="004C2B5A" w:rsidRDefault="00000000">
      <w:pPr>
        <w:rPr>
          <w:rFonts w:ascii="Times New Roman" w:eastAsia="Times New Roman" w:hAnsi="Times New Roman" w:cs="Times New Roman"/>
          <w:b/>
          <w:color w:val="1A1919"/>
          <w:sz w:val="24"/>
          <w:szCs w:val="24"/>
        </w:rPr>
      </w:pPr>
      <w:r>
        <w:rPr>
          <w:rFonts w:ascii="Times New Roman" w:eastAsia="Times New Roman" w:hAnsi="Times New Roman" w:cs="Times New Roman"/>
          <w:b/>
          <w:color w:val="1A1919"/>
          <w:sz w:val="24"/>
          <w:szCs w:val="24"/>
        </w:rPr>
        <w:lastRenderedPageBreak/>
        <w:t xml:space="preserve">This state council record tells that the Queen of </w:t>
      </w:r>
      <w:proofErr w:type="spellStart"/>
      <w:r>
        <w:rPr>
          <w:rFonts w:ascii="Times New Roman" w:eastAsia="Times New Roman" w:hAnsi="Times New Roman" w:cs="Times New Roman"/>
          <w:b/>
          <w:color w:val="1A1919"/>
          <w:sz w:val="24"/>
          <w:szCs w:val="24"/>
        </w:rPr>
        <w:t>Portaback</w:t>
      </w:r>
      <w:proofErr w:type="spellEnd"/>
      <w:r>
        <w:rPr>
          <w:rFonts w:ascii="Times New Roman" w:eastAsia="Times New Roman" w:hAnsi="Times New Roman" w:cs="Times New Roman"/>
          <w:b/>
          <w:color w:val="1A1919"/>
          <w:sz w:val="24"/>
          <w:szCs w:val="24"/>
        </w:rPr>
        <w:t xml:space="preserve"> and her tribe want to leave their lands. They were facing famine yearly when English settlers' livestock would graze in their cornfields.</w:t>
      </w:r>
    </w:p>
    <w:p w14:paraId="4BFA79E5" w14:textId="77777777" w:rsidR="004C2B5A" w:rsidRDefault="004C2B5A">
      <w:pPr>
        <w:rPr>
          <w:rFonts w:ascii="Times New Roman" w:eastAsia="Times New Roman" w:hAnsi="Times New Roman" w:cs="Times New Roman"/>
          <w:b/>
          <w:color w:val="1A1919"/>
          <w:sz w:val="24"/>
          <w:szCs w:val="24"/>
        </w:rPr>
      </w:pPr>
      <w:hyperlink r:id="rId28">
        <w:r>
          <w:rPr>
            <w:rFonts w:ascii="Times New Roman" w:eastAsia="Times New Roman" w:hAnsi="Times New Roman" w:cs="Times New Roman"/>
            <w:b/>
            <w:color w:val="1155CC"/>
            <w:sz w:val="24"/>
            <w:szCs w:val="24"/>
            <w:u w:val="single"/>
          </w:rPr>
          <w:t>https://msa.maryland.gov/megafile/msa/speccol/sc2900/sc2908/000001/000003/html/am3--489.html</w:t>
        </w:r>
      </w:hyperlink>
      <w:r w:rsidR="00000000">
        <w:rPr>
          <w:rFonts w:ascii="Times New Roman" w:eastAsia="Times New Roman" w:hAnsi="Times New Roman" w:cs="Times New Roman"/>
          <w:b/>
          <w:color w:val="1A1919"/>
          <w:sz w:val="24"/>
          <w:szCs w:val="24"/>
        </w:rPr>
        <w:t xml:space="preserve"> </w:t>
      </w:r>
    </w:p>
    <w:p w14:paraId="63233682" w14:textId="77777777" w:rsidR="004C2B5A" w:rsidRDefault="00000000">
      <w:pPr>
        <w:spacing w:before="240" w:after="240"/>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By the Lieutenant General</w:t>
      </w:r>
    </w:p>
    <w:p w14:paraId="58EEFDC7" w14:textId="77777777" w:rsidR="004C2B5A" w:rsidRDefault="00000000">
      <w:pPr>
        <w:spacing w:before="240" w:after="240"/>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 xml:space="preserve">“Whereas sundry complaints have been made unto me by the Queen of </w:t>
      </w:r>
      <w:proofErr w:type="spellStart"/>
      <w:r>
        <w:rPr>
          <w:rFonts w:ascii="Times New Roman" w:eastAsia="Times New Roman" w:hAnsi="Times New Roman" w:cs="Times New Roman"/>
          <w:color w:val="3D3F42"/>
          <w:sz w:val="24"/>
          <w:szCs w:val="24"/>
        </w:rPr>
        <w:t>Portaback</w:t>
      </w:r>
      <w:proofErr w:type="spellEnd"/>
      <w:r>
        <w:rPr>
          <w:rFonts w:ascii="Times New Roman" w:eastAsia="Times New Roman" w:hAnsi="Times New Roman" w:cs="Times New Roman"/>
          <w:color w:val="3D3F42"/>
          <w:sz w:val="24"/>
          <w:szCs w:val="24"/>
        </w:rPr>
        <w:t xml:space="preserve"> on behalf of herself and the Indians under her, intimating that they have not only left their town standing by the water, but have removed themselves</w:t>
      </w:r>
    </w:p>
    <w:p w14:paraId="638AB25A" w14:textId="77777777" w:rsidR="004C2B5A" w:rsidRDefault="00000000">
      <w:pPr>
        <w:spacing w:before="240" w:after="240"/>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Liber H. H.</w:t>
      </w:r>
    </w:p>
    <w:p w14:paraId="5AE91896" w14:textId="77777777" w:rsidR="004C2B5A" w:rsidRDefault="00000000">
      <w:pPr>
        <w:spacing w:before="240" w:after="240"/>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farther off—even to the utmost bounds of their land—leaving place for the English to settle on their ancient plantations by the riverside. The English, not being (as they inform me) content with what land is already freely granted, do still take up land and settle themselves very near unto the said Indians, whose stocks of cattle and hogs do and will yearly destroy their cornfields. By which means they must, of necessity, come to famine, they not knowing the way and means to fence in their cornfields as the English do, and will soon come to destruction.</w:t>
      </w:r>
    </w:p>
    <w:p w14:paraId="3B610FEE" w14:textId="77777777" w:rsidR="004C2B5A" w:rsidRDefault="00000000">
      <w:pPr>
        <w:spacing w:before="240" w:after="240"/>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I do therefore hereby will and require all persons whatsoever, inhabitants of this province, to take notice hereof and desist from taking up any land or settling any land (though formerly taken up and surveyed by them) within three miles at the least of any of the said Indian habitations or plantations.”</w:t>
      </w:r>
    </w:p>
    <w:p w14:paraId="15ACE459" w14:textId="77777777" w:rsidR="004C2B5A" w:rsidRDefault="00000000">
      <w:pPr>
        <w:spacing w:before="240" w:after="240"/>
        <w:rPr>
          <w:rFonts w:ascii="Times New Roman" w:eastAsia="Times New Roman" w:hAnsi="Times New Roman" w:cs="Times New Roman"/>
          <w:color w:val="3D3F42"/>
          <w:sz w:val="24"/>
          <w:szCs w:val="24"/>
        </w:rPr>
      </w:pPr>
      <w:r>
        <w:rPr>
          <w:rFonts w:ascii="Times New Roman" w:eastAsia="Times New Roman" w:hAnsi="Times New Roman" w:cs="Times New Roman"/>
          <w:color w:val="3D3F42"/>
          <w:sz w:val="24"/>
          <w:szCs w:val="24"/>
        </w:rPr>
        <w:t>Given under my hand this 17th day of November 1663.</w:t>
      </w:r>
    </w:p>
    <w:p w14:paraId="24C0D75E" w14:textId="77777777" w:rsidR="004C2B5A" w:rsidRDefault="004C2B5A">
      <w:pPr>
        <w:rPr>
          <w:rFonts w:ascii="Times New Roman" w:eastAsia="Times New Roman" w:hAnsi="Times New Roman" w:cs="Times New Roman"/>
          <w:color w:val="3D3F42"/>
          <w:sz w:val="24"/>
          <w:szCs w:val="24"/>
        </w:rPr>
      </w:pPr>
    </w:p>
    <w:sectPr w:rsidR="004C2B5A">
      <w:headerReference w:type="default" r:id="rId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644F2" w14:textId="77777777" w:rsidR="00F50557" w:rsidRDefault="00F50557">
      <w:pPr>
        <w:spacing w:line="240" w:lineRule="auto"/>
      </w:pPr>
      <w:r>
        <w:separator/>
      </w:r>
    </w:p>
  </w:endnote>
  <w:endnote w:type="continuationSeparator" w:id="0">
    <w:p w14:paraId="7FDF8EBC" w14:textId="77777777" w:rsidR="00F50557" w:rsidRDefault="00F505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55206" w14:textId="77777777" w:rsidR="00F50557" w:rsidRDefault="00F50557">
      <w:pPr>
        <w:spacing w:line="240" w:lineRule="auto"/>
      </w:pPr>
      <w:r>
        <w:separator/>
      </w:r>
    </w:p>
  </w:footnote>
  <w:footnote w:type="continuationSeparator" w:id="0">
    <w:p w14:paraId="55BFA0B2" w14:textId="77777777" w:rsidR="00F50557" w:rsidRDefault="00F505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8983" w14:textId="77777777" w:rsidR="004C2B5A" w:rsidRDefault="004C2B5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B5A"/>
    <w:rsid w:val="001C1FCA"/>
    <w:rsid w:val="004C2B5A"/>
    <w:rsid w:val="006B1EFD"/>
    <w:rsid w:val="0085796E"/>
    <w:rsid w:val="00B3760A"/>
    <w:rsid w:val="00D8675E"/>
    <w:rsid w:val="00F50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E253"/>
  <w15:docId w15:val="{0D10B69F-4587-6C4C-8468-984114C80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sco.com/research-starters/social-sciences-and-humanities/seneca" TargetMode="External"/><Relationship Id="rId13" Type="http://schemas.openxmlformats.org/officeDocument/2006/relationships/image" Target="media/image1.png"/><Relationship Id="rId18" Type="http://schemas.openxmlformats.org/officeDocument/2006/relationships/hyperlink" Target="https://www.monticello.org/research-education/thomas-jefferson-encyclopedia/jeffersons-excavation-native-american-burial-mound/" TargetMode="External"/><Relationship Id="rId26" Type="http://schemas.openxmlformats.org/officeDocument/2006/relationships/hyperlink" Target="https://chroniclingamerica.loc.gov/lccn/sn89060060/1887-07-29/ed-1/seq-3/" TargetMode="External"/><Relationship Id="rId3" Type="http://schemas.openxmlformats.org/officeDocument/2006/relationships/webSettings" Target="webSettings.xml"/><Relationship Id="rId21" Type="http://schemas.openxmlformats.org/officeDocument/2006/relationships/hyperlink" Target="https://www.monticello.org/research-education/thomas-jefferson-encyclopedia/jeffersons-excavation-native-american-burial-mound/" TargetMode="External"/><Relationship Id="rId7" Type="http://schemas.openxmlformats.org/officeDocument/2006/relationships/hyperlink" Target="https://openurl.ebsco.com/EPDB%3Agcd%3A7%3A20685351/detailv2?sid=ebsco%3Aebsco.com%3ARS&amp;id=ebsco%3Agcd%3A153074822&amp;bquery=Native%20American%20metalwork&amp;page=1&amp;link_origin=https%3A%2F%2Fwww.google.com" TargetMode="External"/><Relationship Id="rId12" Type="http://schemas.openxmlformats.org/officeDocument/2006/relationships/hyperlink" Target="https://www.kare11.com/gallery/news/local/archives-the-faces-of-native-american-boarding-schools/89-80fb89be-e71f-48dd-82d3-dd23cd3db5d8" TargetMode="External"/><Relationship Id="rId17" Type="http://schemas.openxmlformats.org/officeDocument/2006/relationships/hyperlink" Target="https://www.monticello.org/research-education/thomas-jefferson-encyclopedia/jeffersons-excavation-native-american-burial-mound/" TargetMode="External"/><Relationship Id="rId25"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hyperlink" Target="https://www.monticello.org/research-education/thomas-jefferson-encyclopedia/jeffersons-excavation-native-american-burial-mound/" TargetMode="External"/><Relationship Id="rId20" Type="http://schemas.openxmlformats.org/officeDocument/2006/relationships/hyperlink" Target="https://www.monticello.org/research-education/thomas-jefferson-encyclopedia/jeffersons-excavation-native-american-burial-mound/"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openurl.ebsco.com/results?sid=ebsco:ocu:record&amp;bquery=IS+0008-9559+AND+VI+68+AND+IP+4+AND+DT+2021&amp;link_origin=https://www.google.com&amp;searchDescription=Central%20States%20Archaeological%20Journal%2C%202021%2C%20Vol%2068%2C%20Issue%204" TargetMode="External"/><Relationship Id="rId11" Type="http://schemas.openxmlformats.org/officeDocument/2006/relationships/hyperlink" Target="https://msa.maryland.gov/megafile/msa/speccol/sc2900/sc2908/000001/000721/html/am721--409.html" TargetMode="External"/><Relationship Id="rId24"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hyperlink" Target="https://www.monticello.org/research-education/thomas-jefferson-encyclopedia/jeffersons-excavation-native-american-burial-mound/" TargetMode="External"/><Relationship Id="rId23" Type="http://schemas.openxmlformats.org/officeDocument/2006/relationships/hyperlink" Target="https://www.monticello.org/research-education/thomas-jefferson-encyclopedia/jeffersons-excavation-native-american-burial-mound/" TargetMode="External"/><Relationship Id="rId28" Type="http://schemas.openxmlformats.org/officeDocument/2006/relationships/hyperlink" Target="https://msa.maryland.gov/megafile/msa/speccol/sc2900/sc2908/000001/000003/html/am3--489.html" TargetMode="External"/><Relationship Id="rId10" Type="http://schemas.openxmlformats.org/officeDocument/2006/relationships/hyperlink" Target="https://www.ebsco.com/research-starters/language-and-linguistics/navajo" TargetMode="External"/><Relationship Id="rId19" Type="http://schemas.openxmlformats.org/officeDocument/2006/relationships/hyperlink" Target="https://www.monticello.org/research-education/thomas-jefferson-encyclopedia/jeffersons-excavation-native-american-burial-mound/"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ebsco.com/research-starters/social-sciences-and-humanities/zuni" TargetMode="External"/><Relationship Id="rId14" Type="http://schemas.openxmlformats.org/officeDocument/2006/relationships/image" Target="media/image2.png"/><Relationship Id="rId22" Type="http://schemas.openxmlformats.org/officeDocument/2006/relationships/hyperlink" Target="https://www.monticello.org/research-education/thomas-jefferson-encyclopedia/jeffersons-excavation-native-american-burial-mound/" TargetMode="External"/><Relationship Id="rId27" Type="http://schemas.openxmlformats.org/officeDocument/2006/relationships/image" Target="media/image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1375</Words>
  <Characters>7838</Characters>
  <Application>Microsoft Office Word</Application>
  <DocSecurity>0</DocSecurity>
  <Lines>65</Lines>
  <Paragraphs>18</Paragraphs>
  <ScaleCrop>false</ScaleCrop>
  <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Brenna Spray -MDP-</cp:lastModifiedBy>
  <cp:revision>4</cp:revision>
  <dcterms:created xsi:type="dcterms:W3CDTF">2025-07-29T12:58:00Z</dcterms:created>
  <dcterms:modified xsi:type="dcterms:W3CDTF">2025-12-05T18:41:00Z</dcterms:modified>
</cp:coreProperties>
</file>